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CellSpacing w:w="0" w:type="dxa"/>
        <w:tblCellMar>
          <w:left w:w="0" w:type="dxa"/>
          <w:right w:w="0" w:type="dxa"/>
        </w:tblCellMar>
        <w:tblLook w:val="04A0" w:firstRow="1" w:lastRow="0" w:firstColumn="1" w:lastColumn="0" w:noHBand="0" w:noVBand="1"/>
      </w:tblPr>
      <w:tblGrid>
        <w:gridCol w:w="4717"/>
        <w:gridCol w:w="5498"/>
      </w:tblGrid>
      <w:tr w:rsidR="00606297" w:rsidRPr="00606297" w:rsidTr="00606297">
        <w:trPr>
          <w:tblCellSpacing w:w="0" w:type="dxa"/>
        </w:trPr>
        <w:tc>
          <w:tcPr>
            <w:tcW w:w="4710" w:type="dxa"/>
            <w:vAlign w:val="center"/>
            <w:hideMark/>
          </w:tcPr>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TỔNG LIÊN ĐOÀN LAO ĐỘNG VIỆT NAM</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u w:val="single"/>
              </w:rPr>
              <w:t>CÔNG ĐOÀN GIÁO DỤC VIỆT NAM</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Số: 206/TB-CĐN</w:t>
            </w:r>
          </w:p>
        </w:tc>
        <w:tc>
          <w:tcPr>
            <w:tcW w:w="5490" w:type="dxa"/>
            <w:vAlign w:val="center"/>
            <w:hideMark/>
          </w:tcPr>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CỘNG HOÀ XÃ HỘI CHỦ NGHĨA VIỆT NAM</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u w:val="single"/>
              </w:rPr>
              <w:t>Độc lập - Tự do - Hạnh phúc</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i/>
                <w:iCs/>
                <w:sz w:val="24"/>
                <w:szCs w:val="24"/>
              </w:rPr>
              <w:t>Hà Nội, ngày 29 tháng 7 năm 2014</w:t>
            </w:r>
          </w:p>
        </w:tc>
      </w:tr>
    </w:tbl>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THÔNG BÁO</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Kết quả xếp loại công đoàn cơ sở vững mạnh năm học 2013-2014</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(khối trực thuộc)</w:t>
      </w:r>
    </w:p>
    <w:p w:rsidR="00606297" w:rsidRPr="00606297" w:rsidRDefault="00606297" w:rsidP="00606297">
      <w:pPr>
        <w:spacing w:before="100" w:beforeAutospacing="1" w:after="100" w:afterAutospacing="1"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 Căn cứ Hướng dẫn số 594/HD-CĐN ngày 15/8/2011 của Ban Thường vụ Công đoàn Giáo dục Việt Nam về việc hướng dẫn xây dựng công đoàn cơ sở vững mạnh và đánh giá chất lượng hoạt động công đoàn cơ sở trong Ngành giáo dục;</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 Căn cứ kết quả tự đánh giá chấm điểm và xếp loại công đoàn cơ sở vững mạnh năm học 2013-2014 của công đoàn các trường đại học, cao đẳng và đơn vị trực thuộc;</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 Căn cứ báo cáo kết quả xếp loại CĐCSVM của Công đoàn các Đại học Quốc gia, Đại học Vùng; Công đoàn Cơ quan Bộ Giáo dục và Đào tạo;</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 Căn cứ kết quả kiểm phiếu phiếu chấm điểm và xếp loại công đoàn cơ sở vững mạnh năm học 2013-2014 của Hội đồng thi đua khen thưởng Công đoàn Giáo dục Việt Nam ngày 23/7/2014;</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Ban Thường vụ Công đoàn Giáo dục Việt Nam thông báo kết quả xếp loại Công đoàn cơ sở vững mạnh năm học 2013-2014 của các đơn vị như sau:</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r w:rsidRPr="00606297">
        <w:rPr>
          <w:rFonts w:ascii="Times New Roman" w:eastAsia="Times New Roman" w:hAnsi="Times New Roman" w:cs="Times New Roman"/>
          <w:b/>
          <w:bCs/>
          <w:sz w:val="24"/>
          <w:szCs w:val="24"/>
        </w:rPr>
        <w:t xml:space="preserve">          1. Công đoàn các trường đại học, cao đẳng và đơn vị trực thuộc </w:t>
      </w:r>
    </w:p>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xml:space="preserve">          </w:t>
      </w:r>
      <w:r w:rsidRPr="00606297">
        <w:rPr>
          <w:rFonts w:ascii="Times New Roman" w:eastAsia="Times New Roman" w:hAnsi="Times New Roman" w:cs="Times New Roman"/>
          <w:b/>
          <w:bCs/>
          <w:sz w:val="24"/>
          <w:szCs w:val="24"/>
        </w:rPr>
        <w:t xml:space="preserve">1.1. Công đoàn cơ sở đạt Vững mạnh xuất sắc: 35 đơn vị  </w:t>
      </w:r>
    </w:p>
    <w:tbl>
      <w:tblPr>
        <w:tblW w:w="8850" w:type="dxa"/>
        <w:tblCellSpacing w:w="0" w:type="dxa"/>
        <w:tblCellMar>
          <w:left w:w="0" w:type="dxa"/>
          <w:right w:w="0" w:type="dxa"/>
        </w:tblCellMar>
        <w:tblLook w:val="04A0" w:firstRow="1" w:lastRow="0" w:firstColumn="1" w:lastColumn="0" w:noHBand="0" w:noVBand="1"/>
      </w:tblPr>
      <w:tblGrid>
        <w:gridCol w:w="736"/>
        <w:gridCol w:w="7453"/>
        <w:gridCol w:w="661"/>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Sư phạm Hà Nội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Mỏ - Địa chất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Sư phạm Hà Nội 2</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Giao thông Vận tải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Nha Trang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Vinh</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Bách Khoa Hà Nội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ĐHSP Nghệ thuật Trung ương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9.</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DBĐH Dân tộc Trung ương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10.</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Cần Thơ</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Đại học Mở Hà Nội</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Thương mại</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Hà Nội</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lastRenderedPageBreak/>
              <w:t>14.</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Ngoại Thương</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15.</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Đồng Tháp</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16.</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Tây Nguyên</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17.</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ĐHSP Thể dục Thể thao Hà Nội</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18.</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Hữu nghị 80</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19.</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Nông nghiệp Hà Nội</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20.</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CĐSP Trung ương Nha Trang</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DBĐH Dân tộc Trung ương Nha Trang</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Tây Bắc</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Kinh tế Quốc dân</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24.</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Xây dựng</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25.</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Mỹ thuật Công nghiệp</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26.</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ĐHSP Kỹ thuật Hưng Yên</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27.</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Phổ thông Vùng cao Việt Bắc</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28.</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DBĐH Dân tộc Sầm Sơn</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29.</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Hữu nghị T78</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30.</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Học viện Quản lý Giáo dục</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Đà Lạt</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Lạc Hồng</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Nhà Xuất bản Giáo dục Việt Nam</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34.</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Bà Rịa – Vũng Tàu</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35.</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Công nghệ Đông Á</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xml:space="preserve">          </w:t>
      </w:r>
      <w:r w:rsidRPr="00606297">
        <w:rPr>
          <w:rFonts w:ascii="Times New Roman" w:eastAsia="Times New Roman" w:hAnsi="Times New Roman" w:cs="Times New Roman"/>
          <w:b/>
          <w:bCs/>
          <w:sz w:val="24"/>
          <w:szCs w:val="24"/>
        </w:rPr>
        <w:t>1</w:t>
      </w:r>
      <w:r w:rsidRPr="00606297">
        <w:rPr>
          <w:rFonts w:ascii="Times New Roman" w:eastAsia="Times New Roman" w:hAnsi="Times New Roman" w:cs="Times New Roman"/>
          <w:sz w:val="24"/>
          <w:szCs w:val="24"/>
        </w:rPr>
        <w:t>.</w:t>
      </w:r>
      <w:r w:rsidRPr="00606297">
        <w:rPr>
          <w:rFonts w:ascii="Times New Roman" w:eastAsia="Times New Roman" w:hAnsi="Times New Roman" w:cs="Times New Roman"/>
          <w:b/>
          <w:bCs/>
          <w:sz w:val="24"/>
          <w:szCs w:val="24"/>
        </w:rPr>
        <w:t xml:space="preserve">2. Công đoàn cơ sở đạt Vững mạnh: 11 đơn vị </w:t>
      </w:r>
    </w:p>
    <w:tbl>
      <w:tblPr>
        <w:tblW w:w="8175" w:type="dxa"/>
        <w:tblCellSpacing w:w="0" w:type="dxa"/>
        <w:tblCellMar>
          <w:left w:w="0" w:type="dxa"/>
          <w:right w:w="0" w:type="dxa"/>
        </w:tblCellMar>
        <w:tblLook w:val="04A0" w:firstRow="1" w:lastRow="0" w:firstColumn="1" w:lastColumn="0" w:noHBand="0" w:noVBand="1"/>
      </w:tblPr>
      <w:tblGrid>
        <w:gridCol w:w="735"/>
        <w:gridCol w:w="7440"/>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Tạp chí Giáo dục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Cao đẳng Sư phạm Trung ương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Quy Nhơn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Khoa học Giáo dục Việt Nam</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nghiên cứu Thiết kế trường học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Báo Giáo dục và Thời đại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Hỗ trợ đào tạo và Cung ứng nhân lực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Khách sạn Hoa Phượng Đỏ</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9.</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ĐHDL Phương Đông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10.</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Quốc tế Bắc Hà</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Kinh doanh và Công nghệ Hà Nội</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xml:space="preserve">          </w:t>
      </w:r>
      <w:r w:rsidRPr="00606297">
        <w:rPr>
          <w:rFonts w:ascii="Times New Roman" w:eastAsia="Times New Roman" w:hAnsi="Times New Roman" w:cs="Times New Roman"/>
          <w:b/>
          <w:bCs/>
          <w:sz w:val="24"/>
          <w:szCs w:val="24"/>
        </w:rPr>
        <w:t>1</w:t>
      </w:r>
      <w:r w:rsidRPr="00606297">
        <w:rPr>
          <w:rFonts w:ascii="Times New Roman" w:eastAsia="Times New Roman" w:hAnsi="Times New Roman" w:cs="Times New Roman"/>
          <w:sz w:val="24"/>
          <w:szCs w:val="24"/>
        </w:rPr>
        <w:t>.</w:t>
      </w:r>
      <w:r w:rsidRPr="00606297">
        <w:rPr>
          <w:rFonts w:ascii="Times New Roman" w:eastAsia="Times New Roman" w:hAnsi="Times New Roman" w:cs="Times New Roman"/>
          <w:b/>
          <w:bCs/>
          <w:sz w:val="24"/>
          <w:szCs w:val="24"/>
        </w:rPr>
        <w:t>3. Công đoàn cơ sở đạt Khá: 03 đơn vị</w:t>
      </w:r>
    </w:p>
    <w:tbl>
      <w:tblPr>
        <w:tblW w:w="8175" w:type="dxa"/>
        <w:tblCellSpacing w:w="0" w:type="dxa"/>
        <w:tblCellMar>
          <w:left w:w="0" w:type="dxa"/>
          <w:right w:w="0" w:type="dxa"/>
        </w:tblCellMar>
        <w:tblLook w:val="04A0" w:firstRow="1" w:lastRow="0" w:firstColumn="1" w:lastColumn="0" w:noHBand="0" w:noVBand="1"/>
      </w:tblPr>
      <w:tblGrid>
        <w:gridCol w:w="735"/>
        <w:gridCol w:w="7440"/>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Khoa học và Công nghệ HN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ĐHDL Đông Đô</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Thăng Long</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r w:rsidRPr="00606297">
        <w:rPr>
          <w:rFonts w:ascii="Times New Roman" w:eastAsia="Times New Roman" w:hAnsi="Times New Roman" w:cs="Times New Roman"/>
          <w:b/>
          <w:bCs/>
          <w:sz w:val="24"/>
          <w:szCs w:val="24"/>
        </w:rPr>
        <w:t xml:space="preserve">1.4. Công đoàn cơ sở đạt Trung bình: 04 đơn vị </w:t>
      </w:r>
    </w:p>
    <w:tbl>
      <w:tblPr>
        <w:tblW w:w="8175" w:type="dxa"/>
        <w:tblCellSpacing w:w="0" w:type="dxa"/>
        <w:tblCellMar>
          <w:left w:w="0" w:type="dxa"/>
          <w:right w:w="0" w:type="dxa"/>
        </w:tblCellMar>
        <w:tblLook w:val="04A0" w:firstRow="1" w:lastRow="0" w:firstColumn="1" w:lastColumn="0" w:noHBand="0" w:noVBand="1"/>
      </w:tblPr>
      <w:tblGrid>
        <w:gridCol w:w="735"/>
        <w:gridCol w:w="7440"/>
      </w:tblGrid>
      <w:tr w:rsidR="00606297" w:rsidRPr="00606297" w:rsidTr="00606297">
        <w:trPr>
          <w:trHeight w:val="240"/>
          <w:tblHeade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1.</w:t>
            </w:r>
          </w:p>
        </w:tc>
        <w:tc>
          <w:tcPr>
            <w:tcW w:w="7440" w:type="dxa"/>
            <w:vAlign w:val="center"/>
            <w:hideMark/>
          </w:tcPr>
          <w:p w:rsidR="00606297" w:rsidRPr="00606297" w:rsidRDefault="00606297" w:rsidP="00606297">
            <w:pPr>
              <w:spacing w:after="0" w:line="240" w:lineRule="auto"/>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CĐ Trường ĐHDL Lương Thế Vinh</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lastRenderedPageBreak/>
              <w:t>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Tư thục Công nghệ và Quản lý Hữu nghị</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Thành Tây</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Đại Nam</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r w:rsidRPr="00606297">
        <w:rPr>
          <w:rFonts w:ascii="Times New Roman" w:eastAsia="Times New Roman" w:hAnsi="Times New Roman" w:cs="Times New Roman"/>
          <w:b/>
          <w:bCs/>
          <w:sz w:val="24"/>
          <w:szCs w:val="24"/>
        </w:rPr>
        <w:t>1.5. Công đoàn cơ sở chưa xếp loại (mới thành lập): 01 đơn vị</w:t>
      </w:r>
    </w:p>
    <w:tbl>
      <w:tblPr>
        <w:tblW w:w="8175" w:type="dxa"/>
        <w:tblCellSpacing w:w="0" w:type="dxa"/>
        <w:tblCellMar>
          <w:left w:w="0" w:type="dxa"/>
          <w:right w:w="0" w:type="dxa"/>
        </w:tblCellMar>
        <w:tblLook w:val="04A0" w:firstRow="1" w:lastRow="0" w:firstColumn="1" w:lastColumn="0" w:noHBand="0" w:noVBand="1"/>
      </w:tblPr>
      <w:tblGrid>
        <w:gridCol w:w="735"/>
        <w:gridCol w:w="7440"/>
      </w:tblGrid>
      <w:tr w:rsidR="00606297" w:rsidRPr="00606297" w:rsidTr="00606297">
        <w:trPr>
          <w:trHeight w:val="240"/>
          <w:tblHeade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CĐ Trường ĐH Phan Thiết</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r w:rsidRPr="00606297">
        <w:rPr>
          <w:rFonts w:ascii="Times New Roman" w:eastAsia="Times New Roman" w:hAnsi="Times New Roman" w:cs="Times New Roman"/>
          <w:b/>
          <w:bCs/>
          <w:sz w:val="24"/>
          <w:szCs w:val="24"/>
        </w:rPr>
        <w:t>2. Công đoàn các Đại học Quốc gia, Đại học Vùng; CĐ Cơ quan Bộ Giáo dục và Đào tạo</w:t>
      </w:r>
    </w:p>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2.1. Công đoàn Đại học Quốc gia Hà Nội (26 CĐCS)</w:t>
      </w:r>
    </w:p>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2.1.1. Công đoàn cơ sở đạt Vững mạnh xuất sắc: 13 đơn vị</w:t>
      </w:r>
    </w:p>
    <w:tbl>
      <w:tblPr>
        <w:tblW w:w="8850" w:type="dxa"/>
        <w:tblCellSpacing w:w="0" w:type="dxa"/>
        <w:tblCellMar>
          <w:left w:w="0" w:type="dxa"/>
          <w:right w:w="0" w:type="dxa"/>
        </w:tblCellMar>
        <w:tblLook w:val="04A0" w:firstRow="1" w:lastRow="0" w:firstColumn="1" w:lastColumn="0" w:noHBand="0" w:noVBand="1"/>
      </w:tblPr>
      <w:tblGrid>
        <w:gridCol w:w="736"/>
        <w:gridCol w:w="7453"/>
        <w:gridCol w:w="661"/>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Cơ quan Đại học Quốc gia Hà Nội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Khoa học Tự nhiên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Khoa học Xã hội và Nhân văn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Ngoại ngữ</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Kinh tế</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Luật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Thông tin thư viện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Giáo dục quốc phòng an ninh</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9.</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Hỗ trợ sinh viên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10.</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Giáo dục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Sau đại học</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Quốc tế</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Y dược</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2.1.2. Công đoàn cơ sở đạt Vững mạnh: 08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Đảm bảo chất lượng giáo dục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Công nghệ</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Nhà xuất bản Đại học Quốc gia Hà Nội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đào tạo và phát triển đô thị đại học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Giáo dục thể chất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Tài nguyên môi trường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Vi sinh và Công nghệ sinh học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Việt Nam học và Khoa học phát triển</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2.1.3. Công đoàn cơ sở đạt Khá: 02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Công nghệ Thông tin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Quản trị kinh doanh</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2.1.4. Công đoàn cơ sở chưa xếp loại (mới thành lập): 03 đơn vị</w:t>
      </w:r>
    </w:p>
    <w:tbl>
      <w:tblPr>
        <w:tblW w:w="8190" w:type="dxa"/>
        <w:tblCellSpacing w:w="0" w:type="dxa"/>
        <w:tblCellMar>
          <w:left w:w="0" w:type="dxa"/>
          <w:right w:w="0" w:type="dxa"/>
        </w:tblCellMar>
        <w:tblLook w:val="04A0" w:firstRow="1" w:lastRow="0" w:firstColumn="1" w:lastColumn="0" w:noHBand="0" w:noVBand="1"/>
      </w:tblPr>
      <w:tblGrid>
        <w:gridCol w:w="736"/>
        <w:gridCol w:w="7454"/>
      </w:tblGrid>
      <w:tr w:rsidR="00606297" w:rsidRPr="00606297" w:rsidTr="00606297">
        <w:trPr>
          <w:trHeight w:val="240"/>
          <w:tblHeade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lastRenderedPageBreak/>
              <w:t>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CĐ Trung tâm phát triển nguồn lực</w:t>
            </w:r>
          </w:p>
        </w:tc>
      </w:tr>
      <w:tr w:rsidR="00606297" w:rsidRPr="00606297" w:rsidTr="00606297">
        <w:trPr>
          <w:trHeight w:val="240"/>
          <w:tblHeade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CĐ Trung tâm nghiên cứu đô thị</w:t>
            </w:r>
          </w:p>
        </w:tc>
      </w:tr>
      <w:tr w:rsidR="00606297" w:rsidRPr="00606297" w:rsidTr="00606297">
        <w:trPr>
          <w:trHeight w:val="240"/>
          <w:tblHeade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b/>
                <w:bCs/>
                <w:sz w:val="24"/>
                <w:szCs w:val="24"/>
              </w:rPr>
            </w:pPr>
            <w:r w:rsidRPr="00606297">
              <w:rPr>
                <w:rFonts w:ascii="Times New Roman" w:eastAsia="Times New Roman" w:hAnsi="Times New Roman" w:cs="Times New Roman"/>
                <w:b/>
                <w:bCs/>
                <w:sz w:val="24"/>
                <w:szCs w:val="24"/>
              </w:rPr>
              <w:t>CĐ Văn phòng chương trình Tây Bắc</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2.2. Công đoàn Đại học Thái Nguyên (13 CĐCS)</w:t>
      </w:r>
    </w:p>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2.2.1. Công đoàn cơ sở đạt Vững mạnh xuất sắc: 11 đơn vị</w:t>
      </w:r>
    </w:p>
    <w:tbl>
      <w:tblPr>
        <w:tblW w:w="8850" w:type="dxa"/>
        <w:tblCellSpacing w:w="0" w:type="dxa"/>
        <w:tblCellMar>
          <w:left w:w="0" w:type="dxa"/>
          <w:right w:w="0" w:type="dxa"/>
        </w:tblCellMar>
        <w:tblLook w:val="04A0" w:firstRow="1" w:lastRow="0" w:firstColumn="1" w:lastColumn="0" w:noHBand="0" w:noVBand="1"/>
      </w:tblPr>
      <w:tblGrid>
        <w:gridCol w:w="736"/>
        <w:gridCol w:w="7453"/>
        <w:gridCol w:w="661"/>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Sư phạm</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CĐ Kinh tế Kỹ thuật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Công nghệ Thông tin và Truyền thông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Khoa học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học liệu</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Khối Cơ quan ĐH Thái Nguyên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Kinh tế và Quản trị Kinh doanh</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Ngoại ngữ</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9.</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Kỹ thuật Công nghiệp</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10.</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Nông lâm</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Quốc tế</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2.2.2. Công đoàn cơ sở đạt Vững mạnh: 01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Giáo dục Quốc phòng</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2.2.3. Công đoàn cơ sở đạt Khá: 01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Y dược</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06297">
        <w:rPr>
          <w:rFonts w:ascii="Times New Roman" w:eastAsia="Times New Roman" w:hAnsi="Times New Roman" w:cs="Times New Roman"/>
          <w:b/>
          <w:bCs/>
          <w:sz w:val="24"/>
          <w:szCs w:val="24"/>
        </w:rPr>
        <w:t xml:space="preserve"> 2.3. Công đoàn Đại học Huế (19 CĐCS)</w:t>
      </w:r>
    </w:p>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2.3.1. Công đoàn cơ sở đạt Vững mạnh xuất sắc: 13 đơn vị</w:t>
      </w:r>
    </w:p>
    <w:tbl>
      <w:tblPr>
        <w:tblW w:w="8850" w:type="dxa"/>
        <w:tblCellSpacing w:w="0" w:type="dxa"/>
        <w:tblCellMar>
          <w:left w:w="0" w:type="dxa"/>
          <w:right w:w="0" w:type="dxa"/>
        </w:tblCellMar>
        <w:tblLook w:val="04A0" w:firstRow="1" w:lastRow="0" w:firstColumn="1" w:lastColumn="0" w:noHBand="0" w:noVBand="1"/>
      </w:tblPr>
      <w:tblGrid>
        <w:gridCol w:w="736"/>
        <w:gridCol w:w="7453"/>
        <w:gridCol w:w="661"/>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Y dược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đào tạo từ xa</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Cơ quan Đại học Huế</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Giáo dục quốc phòng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Luật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Du lịch</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học liệu</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phục vụ sinh viên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9.</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Phân hiệu Đại học Huế tại Quảng Trị</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10.</w:t>
            </w:r>
          </w:p>
        </w:tc>
        <w:tc>
          <w:tcPr>
            <w:tcW w:w="8100" w:type="dxa"/>
            <w:gridSpan w:val="2"/>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Viện tài nguyên môi trường và công nghệ sinh học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11.</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Nông lâm</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12.</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Khoa học</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13.</w:t>
            </w:r>
          </w:p>
        </w:tc>
        <w:tc>
          <w:tcPr>
            <w:tcW w:w="744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Sư phạm</w:t>
            </w:r>
          </w:p>
        </w:tc>
        <w:tc>
          <w:tcPr>
            <w:tcW w:w="0" w:type="auto"/>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lastRenderedPageBreak/>
        <w:t>2.3.2. Công đoàn cơ sở đạt Vững mạnh: 06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Ngoại ngữ</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Khoa Giáo dục Thể chất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Kinh tế</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Nghệ thuật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Trung tâm ươm tạo và chuyển giao công nghệ</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Nhà xuất bản</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xml:space="preserve">          </w:t>
      </w:r>
      <w:r w:rsidRPr="00606297">
        <w:rPr>
          <w:rFonts w:ascii="Times New Roman" w:eastAsia="Times New Roman" w:hAnsi="Times New Roman" w:cs="Times New Roman"/>
          <w:b/>
          <w:bCs/>
          <w:sz w:val="24"/>
          <w:szCs w:val="24"/>
        </w:rPr>
        <w:t>2.4. Công đoàn Đại học Đà Nẵng (8 CĐCS)</w:t>
      </w:r>
    </w:p>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2.4.1. Công đoàn cơ sở đạt Vững mạnh xuất sắc: 08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Bách Khoa</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Sư phạm</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Ngoại ngữ</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Cao đẳng Công nghệ thông tin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Phân hiệu Đại học Đà Nẵng tại Kon Tum</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Trường ĐH Kinh tế</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Cơ quan ĐH Đà Nẵng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8.</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Trương Cao đẳng Công nghệ</w:t>
            </w:r>
          </w:p>
        </w:tc>
      </w:tr>
    </w:tbl>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2.5. Công đoàn Cơ quan Bộ Giáo dục và Đào tạo (9 CĐCS)</w:t>
      </w:r>
    </w:p>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2.5.1. Công đoàn cơ sở đạt Vững mạnh xuất sắc: 07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Thanh tra</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Cục Kiểm tra và kiểm định chất lượng</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3.</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Cơ quan Công đoàn Giáo dục Việt Nam</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4.</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Cục Nhà giáo và cán bộ quản lý giáo dục</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5.</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Cục đào tạo với nước ngoài</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6.</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Văn phòng Bộ GD&amp;ĐT</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7.</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Cục cơ sở vật chất thiết bị trường học</w:t>
            </w:r>
          </w:p>
        </w:tc>
      </w:tr>
    </w:tbl>
    <w:p w:rsidR="00606297" w:rsidRPr="00606297" w:rsidRDefault="00606297" w:rsidP="00606297">
      <w:pPr>
        <w:spacing w:before="100" w:beforeAutospacing="1" w:after="100" w:afterAutospacing="1" w:line="240" w:lineRule="auto"/>
        <w:ind w:left="720"/>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2.5.2. Công đoàn cơ sở đạt Vững mạnh: 02 đơn vị</w:t>
      </w:r>
    </w:p>
    <w:tbl>
      <w:tblPr>
        <w:tblW w:w="8850" w:type="dxa"/>
        <w:tblCellSpacing w:w="0" w:type="dxa"/>
        <w:tblCellMar>
          <w:left w:w="0" w:type="dxa"/>
          <w:right w:w="0" w:type="dxa"/>
        </w:tblCellMar>
        <w:tblLook w:val="04A0" w:firstRow="1" w:lastRow="0" w:firstColumn="1" w:lastColumn="0" w:noHBand="0" w:noVBand="1"/>
      </w:tblPr>
      <w:tblGrid>
        <w:gridCol w:w="736"/>
        <w:gridCol w:w="8114"/>
      </w:tblGrid>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1.</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Cục Công nghệ thông tin</w:t>
            </w:r>
          </w:p>
        </w:tc>
      </w:tr>
      <w:tr w:rsidR="00606297" w:rsidRPr="00606297" w:rsidTr="00606297">
        <w:trPr>
          <w:tblCellSpacing w:w="0" w:type="dxa"/>
        </w:trPr>
        <w:tc>
          <w:tcPr>
            <w:tcW w:w="735" w:type="dxa"/>
            <w:vAlign w:val="center"/>
            <w:hideMark/>
          </w:tcPr>
          <w:p w:rsidR="00606297" w:rsidRPr="00606297" w:rsidRDefault="00606297" w:rsidP="00606297">
            <w:pPr>
              <w:spacing w:before="100" w:beforeAutospacing="1" w:after="100" w:afterAutospacing="1" w:line="240" w:lineRule="auto"/>
              <w:jc w:val="right"/>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2.</w:t>
            </w:r>
          </w:p>
        </w:tc>
        <w:tc>
          <w:tcPr>
            <w:tcW w:w="8100" w:type="dxa"/>
            <w:vAlign w:val="center"/>
            <w:hideMark/>
          </w:tcPr>
          <w:p w:rsidR="00606297" w:rsidRPr="00606297" w:rsidRDefault="00606297" w:rsidP="00606297">
            <w:pPr>
              <w:spacing w:before="100" w:beforeAutospacing="1" w:after="100" w:afterAutospacing="1"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CĐ Khách sạn 23 Lê Thánh Tông</w:t>
            </w:r>
          </w:p>
        </w:tc>
      </w:tr>
    </w:tbl>
    <w:p w:rsidR="00606297" w:rsidRPr="00606297" w:rsidRDefault="00606297" w:rsidP="0060629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929"/>
        <w:gridCol w:w="4431"/>
      </w:tblGrid>
      <w:tr w:rsidR="00606297" w:rsidRPr="00606297" w:rsidTr="00606297">
        <w:trPr>
          <w:tblCellSpacing w:w="0" w:type="dxa"/>
        </w:trPr>
        <w:tc>
          <w:tcPr>
            <w:tcW w:w="4995" w:type="dxa"/>
            <w:vAlign w:val="center"/>
            <w:hideMark/>
          </w:tcPr>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b/>
                <w:bCs/>
                <w:i/>
                <w:iCs/>
                <w:sz w:val="18"/>
                <w:szCs w:val="18"/>
              </w:rPr>
              <w:t>Nơi nhận:</w:t>
            </w:r>
          </w:p>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18"/>
                <w:szCs w:val="18"/>
              </w:rPr>
              <w:t>- Ban Tổ chức TLĐLĐVN (để b/c)</w:t>
            </w:r>
          </w:p>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18"/>
                <w:szCs w:val="18"/>
              </w:rPr>
              <w:t>- CĐ các đơn vị trực thuộc;</w:t>
            </w:r>
          </w:p>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18"/>
                <w:szCs w:val="18"/>
              </w:rPr>
              <w:t>- Các Ban CĐGDVN;</w:t>
            </w:r>
          </w:p>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18"/>
                <w:szCs w:val="18"/>
              </w:rPr>
              <w:t>- Website CĐGDVN;</w:t>
            </w:r>
          </w:p>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18"/>
                <w:szCs w:val="18"/>
              </w:rPr>
              <w:t>- Lưu: VT, BTC.</w:t>
            </w:r>
          </w:p>
          <w:p w:rsidR="00606297" w:rsidRPr="00606297" w:rsidRDefault="00606297" w:rsidP="00606297">
            <w:pPr>
              <w:spacing w:after="0" w:line="240" w:lineRule="auto"/>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tc>
        <w:tc>
          <w:tcPr>
            <w:tcW w:w="4485" w:type="dxa"/>
            <w:vAlign w:val="center"/>
            <w:hideMark/>
          </w:tcPr>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TM. BAN THƯỜNG VỤ</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CHỦ TỊCH</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i/>
                <w:iCs/>
                <w:sz w:val="24"/>
                <w:szCs w:val="24"/>
              </w:rPr>
              <w:t>(Đã ký)</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sz w:val="24"/>
                <w:szCs w:val="24"/>
              </w:rPr>
              <w:t> </w:t>
            </w:r>
          </w:p>
          <w:p w:rsidR="00606297" w:rsidRPr="00606297" w:rsidRDefault="00606297" w:rsidP="00606297">
            <w:pPr>
              <w:spacing w:after="0" w:line="240" w:lineRule="auto"/>
              <w:jc w:val="center"/>
              <w:rPr>
                <w:rFonts w:ascii="Times New Roman" w:eastAsia="Times New Roman" w:hAnsi="Times New Roman" w:cs="Times New Roman"/>
                <w:sz w:val="24"/>
                <w:szCs w:val="24"/>
              </w:rPr>
            </w:pPr>
            <w:r w:rsidRPr="00606297">
              <w:rPr>
                <w:rFonts w:ascii="Times New Roman" w:eastAsia="Times New Roman" w:hAnsi="Times New Roman" w:cs="Times New Roman"/>
                <w:b/>
                <w:bCs/>
                <w:sz w:val="24"/>
                <w:szCs w:val="24"/>
              </w:rPr>
              <w:t>Trần Công Phong</w:t>
            </w:r>
          </w:p>
        </w:tc>
      </w:tr>
    </w:tbl>
    <w:p w:rsidR="00441AFF" w:rsidRDefault="00441AFF"/>
    <w:sectPr w:rsidR="00441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1B" w:rsidRDefault="00587F1B" w:rsidP="00606297">
      <w:pPr>
        <w:spacing w:after="0" w:line="240" w:lineRule="auto"/>
      </w:pPr>
      <w:r>
        <w:separator/>
      </w:r>
    </w:p>
  </w:endnote>
  <w:endnote w:type="continuationSeparator" w:id="0">
    <w:p w:rsidR="00587F1B" w:rsidRDefault="00587F1B" w:rsidP="0060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1B" w:rsidRDefault="00587F1B" w:rsidP="00606297">
      <w:pPr>
        <w:spacing w:after="0" w:line="240" w:lineRule="auto"/>
      </w:pPr>
      <w:r>
        <w:separator/>
      </w:r>
    </w:p>
  </w:footnote>
  <w:footnote w:type="continuationSeparator" w:id="0">
    <w:p w:rsidR="00587F1B" w:rsidRDefault="00587F1B" w:rsidP="00606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7"/>
    <w:rsid w:val="00441AFF"/>
    <w:rsid w:val="00587F1B"/>
    <w:rsid w:val="0060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297"/>
    <w:rPr>
      <w:b/>
      <w:bCs/>
    </w:rPr>
  </w:style>
  <w:style w:type="character" w:styleId="Emphasis">
    <w:name w:val="Emphasis"/>
    <w:basedOn w:val="DefaultParagraphFont"/>
    <w:uiPriority w:val="20"/>
    <w:qFormat/>
    <w:rsid w:val="00606297"/>
    <w:rPr>
      <w:i/>
      <w:iCs/>
    </w:rPr>
  </w:style>
  <w:style w:type="paragraph" w:styleId="NormalWeb">
    <w:name w:val="Normal (Web)"/>
    <w:basedOn w:val="Normal"/>
    <w:uiPriority w:val="99"/>
    <w:unhideWhenUsed/>
    <w:rsid w:val="006062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97"/>
  </w:style>
  <w:style w:type="paragraph" w:styleId="Footer">
    <w:name w:val="footer"/>
    <w:basedOn w:val="Normal"/>
    <w:link w:val="FooterChar"/>
    <w:uiPriority w:val="99"/>
    <w:unhideWhenUsed/>
    <w:rsid w:val="0060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297"/>
    <w:rPr>
      <w:b/>
      <w:bCs/>
    </w:rPr>
  </w:style>
  <w:style w:type="character" w:styleId="Emphasis">
    <w:name w:val="Emphasis"/>
    <w:basedOn w:val="DefaultParagraphFont"/>
    <w:uiPriority w:val="20"/>
    <w:qFormat/>
    <w:rsid w:val="00606297"/>
    <w:rPr>
      <w:i/>
      <w:iCs/>
    </w:rPr>
  </w:style>
  <w:style w:type="paragraph" w:styleId="NormalWeb">
    <w:name w:val="Normal (Web)"/>
    <w:basedOn w:val="Normal"/>
    <w:uiPriority w:val="99"/>
    <w:unhideWhenUsed/>
    <w:rsid w:val="006062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97"/>
  </w:style>
  <w:style w:type="paragraph" w:styleId="Footer">
    <w:name w:val="footer"/>
    <w:basedOn w:val="Normal"/>
    <w:link w:val="FooterChar"/>
    <w:uiPriority w:val="99"/>
    <w:unhideWhenUsed/>
    <w:rsid w:val="0060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6286">
      <w:bodyDiv w:val="1"/>
      <w:marLeft w:val="0"/>
      <w:marRight w:val="0"/>
      <w:marTop w:val="0"/>
      <w:marBottom w:val="0"/>
      <w:divBdr>
        <w:top w:val="none" w:sz="0" w:space="0" w:color="auto"/>
        <w:left w:val="none" w:sz="0" w:space="0" w:color="auto"/>
        <w:bottom w:val="none" w:sz="0" w:space="0" w:color="auto"/>
        <w:right w:val="none" w:sz="0" w:space="0" w:color="auto"/>
      </w:divBdr>
      <w:divsChild>
        <w:div w:id="419376758">
          <w:marLeft w:val="0"/>
          <w:marRight w:val="0"/>
          <w:marTop w:val="0"/>
          <w:marBottom w:val="0"/>
          <w:divBdr>
            <w:top w:val="none" w:sz="0" w:space="0" w:color="auto"/>
            <w:left w:val="none" w:sz="0" w:space="0" w:color="auto"/>
            <w:bottom w:val="none" w:sz="0" w:space="0" w:color="auto"/>
            <w:right w:val="none" w:sz="0" w:space="0" w:color="auto"/>
          </w:divBdr>
        </w:div>
        <w:div w:id="195434912">
          <w:marLeft w:val="0"/>
          <w:marRight w:val="0"/>
          <w:marTop w:val="0"/>
          <w:marBottom w:val="0"/>
          <w:divBdr>
            <w:top w:val="none" w:sz="0" w:space="0" w:color="auto"/>
            <w:left w:val="none" w:sz="0" w:space="0" w:color="auto"/>
            <w:bottom w:val="none" w:sz="0" w:space="0" w:color="auto"/>
            <w:right w:val="none" w:sz="0" w:space="0" w:color="auto"/>
          </w:divBdr>
        </w:div>
        <w:div w:id="654190069">
          <w:marLeft w:val="0"/>
          <w:marRight w:val="0"/>
          <w:marTop w:val="0"/>
          <w:marBottom w:val="0"/>
          <w:divBdr>
            <w:top w:val="none" w:sz="0" w:space="0" w:color="auto"/>
            <w:left w:val="none" w:sz="0" w:space="0" w:color="auto"/>
            <w:bottom w:val="none" w:sz="0" w:space="0" w:color="auto"/>
            <w:right w:val="none" w:sz="0" w:space="0" w:color="auto"/>
          </w:divBdr>
        </w:div>
        <w:div w:id="1070888032">
          <w:marLeft w:val="0"/>
          <w:marRight w:val="0"/>
          <w:marTop w:val="0"/>
          <w:marBottom w:val="0"/>
          <w:divBdr>
            <w:top w:val="none" w:sz="0" w:space="0" w:color="auto"/>
            <w:left w:val="none" w:sz="0" w:space="0" w:color="auto"/>
            <w:bottom w:val="none" w:sz="0" w:space="0" w:color="auto"/>
            <w:right w:val="none" w:sz="0" w:space="0" w:color="auto"/>
          </w:divBdr>
        </w:div>
        <w:div w:id="853305249">
          <w:marLeft w:val="0"/>
          <w:marRight w:val="0"/>
          <w:marTop w:val="0"/>
          <w:marBottom w:val="0"/>
          <w:divBdr>
            <w:top w:val="none" w:sz="0" w:space="0" w:color="auto"/>
            <w:left w:val="none" w:sz="0" w:space="0" w:color="auto"/>
            <w:bottom w:val="none" w:sz="0" w:space="0" w:color="auto"/>
            <w:right w:val="none" w:sz="0" w:space="0" w:color="auto"/>
          </w:divBdr>
        </w:div>
        <w:div w:id="1051728438">
          <w:marLeft w:val="0"/>
          <w:marRight w:val="0"/>
          <w:marTop w:val="0"/>
          <w:marBottom w:val="0"/>
          <w:divBdr>
            <w:top w:val="none" w:sz="0" w:space="0" w:color="auto"/>
            <w:left w:val="none" w:sz="0" w:space="0" w:color="auto"/>
            <w:bottom w:val="none" w:sz="0" w:space="0" w:color="auto"/>
            <w:right w:val="none" w:sz="0" w:space="0" w:color="auto"/>
          </w:divBdr>
        </w:div>
        <w:div w:id="61521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Nghiem Xuan</dc:creator>
  <cp:lastModifiedBy>Cong Nghiem Xuan</cp:lastModifiedBy>
  <cp:revision>1</cp:revision>
  <dcterms:created xsi:type="dcterms:W3CDTF">2014-08-01T16:04:00Z</dcterms:created>
  <dcterms:modified xsi:type="dcterms:W3CDTF">2014-08-01T16:06:00Z</dcterms:modified>
</cp:coreProperties>
</file>